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2007 170 vom 11. Dezember 2007</w:t>
      </w:r>
    </w:p>
    <w:p>
      <w:r>
        <w:t>GR Gerichte, 2007-12-11, IT</w:t>
      </w:r>
    </w:p>
    <w:p>
      <w:r>
        <w:rPr>
          <w:b/>
        </w:rPr>
        <w:t xml:space="preserve">Quelle: </w:t>
      </w:r>
      <w:r>
        <w:t>https://mcp.opencaselaw.ch/entscheid/gr_gerichte_S 2007 170</w:t>
      </w:r>
    </w:p>
    <w:p>
      <w:r>
        <w:t>FR: GR_GERICHTE S 2007 170 du 11 décembre 2007</w:t>
      </w:r>
    </w:p>
    <w:p>
      <w:r>
        <w:t>IT: GR_GERICHTE S 2007 170 del 11 dicembre 2007</w:t>
      </w:r>
    </w:p>
    <w:p>
      <w:pPr>
        <w:pStyle w:val="Heading2"/>
      </w:pPr>
      <w:r>
        <w:t>Erwägungen</w:t>
      </w:r>
    </w:p>
    <w:p>
      <w:r>
        <w:rPr>
          <w:b/>
        </w:rPr>
        <w:t>E. 1</w:t>
      </w:r>
    </w:p>
    <w:p>
      <w:r>
        <w:t>Il 1. gennaio 2007 è entrata in vigore la legge cantonale sulla giustizia amministrativa (LGA, CS 370.100) che sostituisce la legge sul Tribunale amministrativo (LTA; CS 370.100) e per il tribunale delle assicurazioni (art. 49 cpv. 2 LGA) l'ordinanza sulla procedura del contenzioso delle assicurazioni sociali (OPCS; CS 542.300). Giusta l'art. 85 cpv. 2 LGA la procedura di ricorso si conforma al nuovo diritto, se al momento della sua entrata in vigore non è ancora scaduto il termine di ricorso. Nel caso in giudizio, essendo stata emanata la decisione impugnata nel 2007, risultano applicabili le disposizioni del nuovo diritto.</w:t>
      </w:r>
    </w:p>
    <w:p>
      <w:r>
        <w:rPr>
          <w:b/>
        </w:rPr>
        <w:t>E. 2</w:t>
      </w:r>
    </w:p>
    <w:p>
      <w:r>
        <w:t>Il ricorso in giudizio è volto contro una decisione dell’Ufficio AI e contesta, in sostanza, il metodo d’accertamento del grado d’invalidità nel cui ambito non si sarebbe tenuto conto dello stato di salute generale dell’assicurato e quindi di ulteriori molteplici patologie invalidanti, basandosi invece unicamente sugli accertamenti delle assicurazioni infortuni limitati all’incidenza dei postumi dei sinistri occorsi nel 1969 e nel 2003. Il 1. gennaio 2003 è entrata in vigore la legge federale sulla parte generale del diritto delle assicurazioni sociali (LPGA; RS 832.20). Con la stessa sono state modificate diverse disposizioni contenute nella legge federale sull'assicurazione per l'invalidità (LAI; RS 831.20). Dal profilo temporale, il giudice delle assicurazioni sociali applica di principio le norme di diritto materiale in vigore al momento in cui si realizza la fattispecie che esplica degli effetti dal punto di vista assicurativo (DTF 129 V 1, 128 V 315, 127 V 467 cons. 1 e 126 V 166 cons. 4b). Inoltre, il Tribunale delle assicurazioni si fonda di regola sui fatti che si sono realizzati fino all'emanazione della decisione amministrativa contestata (DTF 128 V 315, 121 V 366 cons. 1b). La questione non riveste comunque, nell'evenienza, portata rilevante poiché le nuove disposizioni materiali della LPGA, applicabili in questa sede, non comportano cambiamenti sostanziali rispetto alle abrogate disposizioni in vigore fino alla fine del 2002 (sentenza del Tribunale federale delle assicurazioni del 28 giugno 2004, procedimento no. I 590/03).</w:t>
      </w:r>
    </w:p>
    <w:p>
      <w:r>
        <w:rPr>
          <w:b/>
        </w:rPr>
        <w:t>E. 3</w:t>
      </w:r>
    </w:p>
    <w:p>
      <w:r>
        <w:t>Il ricorrente, nell’ambito dell’istruzione della pratica, ha postulato un dibattimento pubblico nonché una superperizia giudiziaria.</w:t>
      </w:r>
    </w:p>
    <w:p>
      <w:r>
        <w:t>Ai sensi dell’art. 61 cpv. 1 lett. e LPGA e 45 LGA, nelle pratiche giudiziarie delle assicurazioni sociali il Tribunale amministrativo è unicamente legittimato, se le circostanze lo giustificano, ma non obbligato, ad emettere il proprio giudizio nel contesto di un’udienza pubblica. Tale decisione, indipendentemente da un’istanza delle parti, ricade quindi nell’ambito del potere discrezionale del Tribunale che valuta, caso per caso, la necessità o meno della pubblica udienza. Dette prassi non collide con i disposti dell’art. 29 della Costituzione Federale (CF) e dell’art. 6 della Convenzione europea sui diritti dell’uomo (CEDU) che non garantiscono al cittadino il diritto incondizionato all’udienza pubblica in tutte le pratiche giudiziarie. Ai sensi dell’art. 61 cpv. 1 lett. c LPGA, il Tribunale delle assicurazioni, con la collaborazione delle parti, stabilisce i fatti determinanti per la soluzione della controversia; raccoglie le necessarie prove e le valuta liberamente. Di conseguenza, il Tribunale amministrativo assume le prove che ritiene utili ai fini del giudizio ma non è vincolato alle singole richieste riguardanti l’accertamento della fattispecie stessa. In effetti, spetta al giudice istruttore incaricato stabilire i mezzi di prova utili all’accertamento della fattispecie giuridicamente rilevante. Detto principio procedurale trova i propri limiti nell'obbligo di ammissione delle prove derivante dal diritto di essere sentito del cittadino sancito dall'art. 29 cpv. 2 CF. Il diritto costituzionale di essere sentito, in sostanza, serve a permettere alla persona coinvolta nella procedura di diritto pubblico la richiesta di assumere prove atte a avvalorare la propria causa. Nel rispetto dei principi dell'economia procedurale e della proporzionalità, l'autorità amministrativa è tenuta a dar seguito alla richiesta dell'interessato unicamente in relazione ai mezzi probatori palesemente rilevanti ai fini del giudizio. Un mezzo di prova deve essere considerato rilevante quando può essere atto ad influenzare la decisione. E contrario è ammissibile rinunciare alla richiesta di assunzione di prove quando la fattispecie che l'istante intende comprovare non appare giuridicamente rilevante, oppure se si intende provare quanto già appurato o dato per scontato. Alla richiesta probatoria non è quindi necessario dar seguito se appare certo a priori che la prova offerta non sia atta a meglio chiarire la fattispecie oppure qualora gli elementi in possesso dell'autorità giudicante siano ritenuti sufficienti ai fini del giudizio (DTF 124 I 241 cons. 2;</w:t>
      </w:r>
    </w:p>
    <w:p>
      <w:r>
        <w:t>DTF 122 I 53 cons. 4a; cfr. al riguardo anche Imboden/Rhinow, Schweizerische Verwaltungsrechtsprechung, 5. Auflage, Basilea 1976, vol. I, n. 82 B IV b; Rhinow/Krähenmann, Schweizerische Verwaltungsrechtsprechung, Ergänzungsband zur 5. Auflage, Basilea 1990, n. 82 B IV b). Nel caso in giudizio, la documentazione agli atti, rispettivamente le allegazioni delle parti appaiono sufficienti al fine di valutare la conformità della decisione impugnata. Il Tribunale amministrativo, tenuto conto che l’oggetto d’esame è costituito squisitamente da problematiche legali e mediche agli atti della procedura, per i motivi precedentemente addotti non ha ritenuto necessario convocare un’udienza pubblica o ordinare una superperizia in quanto nessuna delle due, come si vedrà in seguito, avrebbe potuto contribuire a meglio chiarire gli estremi della pratica.</w:t>
      </w:r>
    </w:p>
    <w:p>
      <w:r>
        <w:rPr>
          <w:b/>
        </w:rPr>
        <w:t>E. 4</w:t>
      </w:r>
    </w:p>
    <w:p>
      <w:r>
        <w:t>L’art. 1 LAI prevede l’applicabilità delle disposizioni della LPGA per quanto non in contrasto con le proprie. A mente dell’art. 28 cpv. 1 LAI, l’assicurato ha diritto al riconoscimento di una rendita intera quando risulta invalido almeno nella misura del 70%, una rendita di tre quarti viene assegnata nel caso di un’invalidità quantificabile fra il 60 e il 69%, la mezza rendita è riconosciuta nei casi d’invalidità nella misura fra il 50% e il 59%, mentre l’attribuzione di un quarto di rendita richiede un’invalidità minima del 40%. Le rendite per un grado d’invalidità inferiore al 50% sono versate solo ad assicurati domiciliati o dimoranti abitualmente in Svizzera (art. 13 LPGA). Ai sensi dell’art. 8 cpv. 1 LPGA, è considerata invalidità l’incapacità al guadagno, totale o parziale, presumibilmente permanente o di lunga durata. Viene considerata incapacità al guadagno la perdita, totale o parziale, provocata da un danno alla salute fisica o psichica e che perdura dopo aver sottoposto l’assicurato alle cure e alle misure di integrazione esigibili, della possibilità di guadagno sul mercato del lavoro equilibrato che entra in considerazione (art. 7 LPGA). Tenor l’art. 28 cpv. 2 LAI, l’art. 16 LPGA è applicabile per determinare l’invalidità dell’assicurato che esercita un’attività lucrativa. In base all’art. 16 LPGA, di regola, il grado d’invalidità viene stabilito paragonando il reddito da lavoro che l’assicurato potrebbe conseguire, dopo l’insorgere dell’invalidità e dopo l’esecuzione di eventuali provvedimenti d’integrazione, nell’esercizio di</w:t>
      </w:r>
    </w:p>
    <w:p>
      <w:r>
        <w:t>un’attività da lui esigibile in condizioni equilibrate del mercato del lavoro, con quello che avrebbe potuto conseguire se non fosse divenuto invalido (cfr. DTF 128 V 30 cons. 1). L’invalidità, nell’ambito delle assicurazioni sociali è quindi un concetto di carattere economico-giuridico e non medico (cfr. DTF 110 V 275, cons. 4a; 109 V 23, cons. 2a; 105 V 207; 102 V 166).</w:t>
      </w:r>
    </w:p>
    <w:p>
      <w:r>
        <w:rPr>
          <w:b/>
        </w:rPr>
        <w:t>E. 5</w:t>
      </w:r>
    </w:p>
    <w:p>
      <w:r>
        <w:t>Il concetto d’invalidità dell’assicurazione AI corrisponde, in sostanza, a quello dell’assicurazione infortuni obbligatoria, motivo per cui la valutazione del grado d’invalidità con riferimento allo stesso danno alla salute deve essere, per ambedue le assicurazioni sociali, equivalente. Nel caso in giudizio, come risulta dall’esame del carteggio, l’Ufficio AI è stato costantemente tenuto al corrente sull’evolversi della pratica AM e SUVA, ricevendo regolarmente copie dei documenti. Al momento dell’emanazione della decisione impugnata, l’Ufficio AI era quindi informato che la SUVA, tramite disposizione del 22 marzo 2006, aveva riconosciuto all’assicurato, limitatamente alle menomazioni derivanti dagli infortuni, un’incapacità lavorativa del 25% con rispettiva rendita a decorrere dal 1. febbraio 2006. Pur se, effettivamente, in seguito a impugnazione da parte dell’assicurato stesso (vedi STA S 07 171), al momento dell’emanazione della decisione AI le decisioni SUVA e AM non erano ancora definitivamente cresciute in forza di giudicato, nel caso in giudizio l’Ufficio AI non può appellarsi alla recente prassi del Tribunale federale, ai sensi della quale la precedenza alla valutazione del grado d’invalidità da parte della SUVA non è assoluta, al fine di giustificare il mancato coordinamento della valutazione del grado d’invalidità con le assicurazioni infortuni. Come considerato, l’Ufficio AI era al corrente del grado d’invalidità fissato o, in ogni caso, previsto dalle assicurazioni infortuni che, pur se contestato da parte dell’assicurato in quanto ritenuto esiguo, doveva, a maggior ragione, costituire per l’AI un grado di base sul quale sviluppare le proprie ulteriori valutazioni in relazione all’incidenza delle patologie extrainfortunistiche che risultano dai vari referti medici. Nel merito giova rilevare che, nello stesso rapporto del servizio medico regionale (SMR), vengano evidenziate, oltre alle menomazioni legate alla patologia infortunistica, altre limitazioni connesse a quella extrainfortunistica. Malgrado la conoscenza del grado d’invalidità previsto e fissato, per quanto di loro</w:t>
      </w:r>
    </w:p>
    <w:p>
      <w:r>
        <w:t>competenza, tramite decisione da parte delle assicurazioni infortuni e, malgrado i ripetuti interventi dell’assicurato a sostegno della portata delle patologie extrainfortunistiche, peraltro risultanti dai molteplici referti medici agli atti, l’assicurazione AI, non solo ha riconosciuto un grado d’invalidità complessivo del 26%, cioè praticamente pari a quello meramente derivante dai postumi degli infortuni, ma ha pure fissato il termine d’interruzione dei ¾ di rendita in base a un’incapacità lavorativa del 66% in tempi completamente diversi da quelli delle altre assicurazioni sociali. In effetti, l’assicurazione infortuni ha versato all’assicurato, fino al 31 gennaio 2006, una diaria per incapacità al lavoro basata su un grado d’invalidità del 66 2/3%, assegnando, con decorrenza dal 1. febbraio 2006, una rendita del 25% per i postumi d’invalidità derivanti dagli infortuni. Da parte sua, l’Assicurazione AI ha invece riconosciuto, tenuto correttamente conto dell’anno d’attesa, una rendita di ¾ basata su un grado d’invalidità del 66% per il periodo dal 1. gennaio 2004 al 31 agosto 2005, fissando, a decorrere da detta data, un grado d’invalidità del 26%. Ne consegue che, per quanto concerne il lasso di tempo fra il 1. settembre 2005 e il 1. febbraio 2006, l’assicurazione infortuni ha riconosciuto all’assicurato un’incapacità lavorativa nella misura del 66 2/3%, mentre l’assicurazione AI, pur tenuta a giudicare il grado d’invalidità complessivo tenendo quindi conto delle patologie extrainfortunistiche, ha accertato, come risulta dalla decisione impugnata, un grado d’invalidità del 26%. Al riguardo traspare quindi una incongruenza lapalissiana che collide con il principio del coordinamento delle assicurazioni sociali coinvolte nell’accertamento dell’invalidità dell’interessato e quindi con il principio per il quale la valutazione dell’invalidità in relazione allo stesso danno alla salute fra le singole assicurazioni sociali deve essere armonizzata. In tale contesto, perciò, l’Ufficio AI sarà tenuto a conformare la propria decisione a quella dell’assicurazione infortuni e militare. Giova inoltre rilevare che, per quanto concerne la rendita d’invalidità AI, che, in seguito all’aggiornamento previsto, dovrà decorrere dal 1. febbraio 2006, la perizia del dott. …, sulla quale l’Ufficio AI basa prioritariamente la propria decisione, appare perlomeno contraddittoria in quanto l’assicurato viene giudicato abile al lavoro nella misura del 100% con un rendimento massimo del 100% a partire dal 6 maggio 2003, quando lo stesso era stato dichiarato</w:t>
      </w:r>
    </w:p>
    <w:p>
      <w:r>
        <w:t>inabile al lavoro nella misura del 66 2/3%; in relazione all’attività prevista dal mansionario SUVA del 6 maggio 2004, il perito giudica invece l’assicurato abile al lavoro nella misura del 60%. Da parte sua, il medico curante del ricorrente è ripetutamente intervenuto invocando gravi problemi di salute del suo paziente senza però indicare con precisione il presunto grado d’invalidità dello stesso. Alla luce della situazione illustrata, caratterizzata da giudizi medici in parte sommari e certamente contraddittori, l’Ufficio AI non potrà esimersi dall’effettuare ulteriori accertamenti mirati al fine di accertare l’effettiva incapacità lavorativa globale del ricorrente a decorrere dal 1. febbraio 2006. Di conseguenza, il ricorso deve essere accolto e gli atti sono rinviati all’ufficio convenuto per nuova decisione ai sensi delle conclusioni giudiziali che prevedono l’assegnazione di ¾ di rendita AI fino al 31 gennaio 2006, nuovi accertamenti medici e l’emanazione di una decisione sulla base degli stessi per quanto concerne la rendita a decorrere dal 1. febbraio 2006. Per quanto concerne la decisione del 5 novembre 2007 si prende atto che la stessa riguarda la quantificazione della rendita basata su un grado d’invalidità del 66% per il periodo dal 1. gennaio 2004 al 31 agosto 2005. Tale decisione, in effetti, non collide con la presente che impone all’istituto convenuto la proroga di tale rendita fino al 31 gennaio 2006 completandola. Inoltre la stessa non ha una portata giuridica propria in quanto traduce meramente in cifre quella qui impugnata.</w:t>
      </w:r>
    </w:p>
    <w:p>
      <w:r>
        <w:rPr>
          <w:b/>
        </w:rPr>
        <w:t>E. 6</w:t>
      </w:r>
    </w:p>
    <w:p>
      <w:r>
        <w:t>In deroga ai disposti dell’art. 61 cpv. 1 lett. a LPGA, la procedura di ricorso in caso di controversie relative all’assegnazione o al rifiuto di prestazioni AI davanti al Tribunale cantonale delle assicurazioni è soggetta a spese. L’ammontare delle spese è previsto fra fr. 200.-- e 1’000.-- in funzione dei costi di procedura e senza riguardo al valore litigioso. Di conseguenza, i costi procedurali vengono accollati all’Istituto delle assicurazioni sociali del Cantone dei Grigioni (Ufficio AI) soccombente. Ai sensi dell’art. 61 cpv. 1 lett. g LPGA, il ricorrente che vince la causa ha diritto al rimborso delle ripetibili secondo quanto stabilito dal Tribunale delle assicurazioni. L’importo è determinato senza tenere conto del valore litigioso, ma secondo l’importanza della lite e la complessità del procedimento. Visto</w:t>
      </w:r>
    </w:p>
    <w:p>
      <w:r>
        <w:t>l’esito del gravame s’impone quindi l’assegnazione al ricorrente, che malgrado l’invito non ha presentato la nota d'onorario del proprio legale, l’assegnazione di un’equa somma a titolo di ripetibili fissata dal Tribunale in fr. 2’500.-- (IVA compresa). Il Tribunale decide: 1. Il ricorso è accolto, la decisione impugnata viene annullata e gli atti vengono rinviati all'istanza convenuta al fine di nuova decisione ai sensi dei considerandi. 2. Vengono prelevati dei costi di fr. 700.--, il cui importo sarà versato dall’Istituto delle assicurazioni sociali del Cantone dei Grigioni (Ufficio AI) entro trenta giorni dalla notifica della presente decisione all’Amministrazione delle finanze del Cantone dei Grigioni, Coira. 3. L’Istituto delle assicurazioni sociali del Cantone dei Grigioni (Ufficio AI) è tenuto a versare a … la somma di fr. 2’500.-- (IVA compresa)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